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9C" w:rsidRDefault="00CE689C" w:rsidP="00CE689C">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GoBack"/>
      <w:bookmarkEnd w:id="0"/>
    </w:p>
    <w:p w:rsidR="00F90184" w:rsidRDefault="00F90184">
      <w:pPr>
        <w:pBdr>
          <w:top w:val="nil"/>
          <w:left w:val="nil"/>
          <w:bottom w:val="nil"/>
          <w:right w:val="nil"/>
          <w:between w:val="nil"/>
        </w:pBdr>
        <w:spacing w:after="0"/>
        <w:ind w:left="4440"/>
        <w:jc w:val="right"/>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left="4440"/>
        <w:jc w:val="right"/>
        <w:rPr>
          <w:rFonts w:ascii="Times New Roman" w:eastAsia="Times New Roman" w:hAnsi="Times New Roman" w:cs="Times New Roman"/>
          <w:color w:val="000000"/>
          <w:sz w:val="24"/>
          <w:szCs w:val="24"/>
        </w:rPr>
      </w:pPr>
    </w:p>
    <w:p w:rsidR="00F90184" w:rsidRDefault="00FA02C4">
      <w:pPr>
        <w:pBdr>
          <w:top w:val="nil"/>
          <w:left w:val="nil"/>
          <w:bottom w:val="nil"/>
          <w:right w:val="nil"/>
          <w:between w:val="nil"/>
        </w:pBdr>
        <w:spacing w:after="0"/>
        <w:ind w:left="44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KINNITATUD </w:t>
      </w:r>
    </w:p>
    <w:p w:rsidR="00F90184" w:rsidRDefault="00FA02C4">
      <w:pPr>
        <w:pBdr>
          <w:top w:val="nil"/>
          <w:left w:val="nil"/>
          <w:bottom w:val="nil"/>
          <w:right w:val="nil"/>
          <w:between w:val="nil"/>
        </w:pBdr>
        <w:spacing w:after="0"/>
        <w:ind w:left="44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Tallinna Mustamäe Reaalgümnaasiumi </w:t>
      </w:r>
    </w:p>
    <w:p w:rsidR="00F90184" w:rsidRDefault="00FA02C4">
      <w:pPr>
        <w:pBdr>
          <w:top w:val="nil"/>
          <w:left w:val="nil"/>
          <w:bottom w:val="nil"/>
          <w:right w:val="nil"/>
          <w:between w:val="nil"/>
        </w:pBdr>
        <w:spacing w:after="0"/>
        <w:ind w:left="44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 </w:t>
      </w:r>
      <w:r w:rsidR="00731CBA">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.01.2022 käskkirjaga nr</w:t>
      </w:r>
      <w:r w:rsidR="00731CBA">
        <w:rPr>
          <w:rFonts w:ascii="Times New Roman" w:eastAsia="Times New Roman" w:hAnsi="Times New Roman" w:cs="Times New Roman"/>
          <w:color w:val="000000"/>
          <w:sz w:val="24"/>
          <w:szCs w:val="24"/>
        </w:rPr>
        <w:t xml:space="preserve"> 1.1-6/54</w:t>
      </w: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90184">
      <w:pPr>
        <w:pBdr>
          <w:top w:val="nil"/>
          <w:left w:val="nil"/>
          <w:bottom w:val="nil"/>
          <w:right w:val="nil"/>
          <w:between w:val="nil"/>
        </w:pBdr>
        <w:spacing w:after="0"/>
        <w:ind w:right="1474"/>
        <w:jc w:val="center"/>
        <w:rPr>
          <w:rFonts w:ascii="Times New Roman" w:eastAsia="Times New Roman" w:hAnsi="Times New Roman" w:cs="Times New Roman"/>
          <w:color w:val="000000"/>
          <w:sz w:val="24"/>
          <w:szCs w:val="24"/>
        </w:rPr>
      </w:pPr>
    </w:p>
    <w:p w:rsidR="00F90184" w:rsidRDefault="00FA02C4">
      <w:pPr>
        <w:pBdr>
          <w:top w:val="nil"/>
          <w:left w:val="nil"/>
          <w:bottom w:val="nil"/>
          <w:right w:val="nil"/>
          <w:between w:val="nil"/>
        </w:pBdr>
        <w:spacing w:before="187" w:after="0"/>
        <w:ind w:right="1474"/>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Tallinna Mustamäe Reaalgümnaasiumi </w:t>
      </w:r>
      <w:r>
        <w:rPr>
          <w:rFonts w:ascii="Times New Roman" w:eastAsia="Times New Roman" w:hAnsi="Times New Roman" w:cs="Times New Roman"/>
          <w:b/>
          <w:color w:val="000000"/>
          <w:sz w:val="32"/>
          <w:szCs w:val="32"/>
        </w:rPr>
        <w:br/>
        <w:t xml:space="preserve"> koolieksami eristuskiri</w:t>
      </w:r>
    </w:p>
    <w:p w:rsidR="00F90184" w:rsidRDefault="00F90184">
      <w:pPr>
        <w:rPr>
          <w:rFonts w:ascii="Times New Roman" w:eastAsia="Times New Roman" w:hAnsi="Times New Roman" w:cs="Times New Roman"/>
          <w:sz w:val="24"/>
          <w:szCs w:val="24"/>
        </w:rPr>
      </w:pPr>
    </w:p>
    <w:p w:rsidR="00F90184" w:rsidRDefault="00F90184"/>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A02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2022</w:t>
      </w:r>
    </w:p>
    <w:p w:rsidR="00F90184" w:rsidRDefault="00FA02C4">
      <w:pPr>
        <w:rPr>
          <w:rFonts w:ascii="Times New Roman" w:eastAsia="Times New Roman" w:hAnsi="Times New Roman" w:cs="Times New Roman"/>
          <w:sz w:val="24"/>
          <w:szCs w:val="24"/>
        </w:rPr>
      </w:pPr>
      <w:bookmarkStart w:id="1" w:name="_heading=h.gjdgxs" w:colFirst="0" w:colLast="0"/>
      <w:bookmarkEnd w:id="1"/>
      <w:r>
        <w:br w:type="page"/>
      </w:r>
    </w:p>
    <w:p w:rsidR="00F90184" w:rsidRDefault="00F90184">
      <w:pPr>
        <w:pStyle w:val="Heading1"/>
        <w:ind w:firstLine="360"/>
        <w:rPr>
          <w:rFonts w:ascii="Times New Roman" w:eastAsia="Times New Roman" w:hAnsi="Times New Roman" w:cs="Times New Roman"/>
          <w:color w:val="000000"/>
          <w:sz w:val="24"/>
          <w:szCs w:val="24"/>
        </w:rPr>
      </w:pPr>
    </w:p>
    <w:p w:rsidR="00F90184" w:rsidRDefault="00FA02C4">
      <w:pPr>
        <w:pStyle w:val="Heading1"/>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Sisukord</w:t>
      </w:r>
    </w:p>
    <w:p w:rsidR="00F90184" w:rsidRDefault="00F90184">
      <w:pPr>
        <w:keepNext/>
        <w:keepLines/>
        <w:pBdr>
          <w:top w:val="nil"/>
          <w:left w:val="nil"/>
          <w:bottom w:val="nil"/>
          <w:right w:val="nil"/>
          <w:between w:val="nil"/>
        </w:pBdr>
        <w:spacing w:before="480" w:after="0"/>
        <w:ind w:left="720" w:hanging="360"/>
        <w:rPr>
          <w:rFonts w:ascii="Times New Roman" w:eastAsia="Times New Roman" w:hAnsi="Times New Roman" w:cs="Times New Roman"/>
          <w:b/>
          <w:color w:val="365F91"/>
          <w:sz w:val="24"/>
          <w:szCs w:val="24"/>
        </w:rPr>
      </w:pPr>
    </w:p>
    <w:sdt>
      <w:sdtPr>
        <w:id w:val="2122189858"/>
        <w:docPartObj>
          <w:docPartGallery w:val="Table of Contents"/>
          <w:docPartUnique/>
        </w:docPartObj>
      </w:sdtPr>
      <w:sdtEndPr/>
      <w:sdtContent>
        <w:p w:rsidR="00F90184" w:rsidRDefault="00FA02C4">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rPr>
              <w:t>Sisukord</w:t>
            </w:r>
          </w:hyperlink>
          <w:hyperlink w:anchor="_heading=h.gjdgxs">
            <w:r>
              <w:rPr>
                <w:color w:val="000000"/>
              </w:rPr>
              <w:tab/>
              <w:t>2</w:t>
            </w:r>
          </w:hyperlink>
        </w:p>
        <w:p w:rsidR="00F90184" w:rsidRDefault="000E3E05">
          <w:pPr>
            <w:pBdr>
              <w:top w:val="nil"/>
              <w:left w:val="nil"/>
              <w:bottom w:val="nil"/>
              <w:right w:val="nil"/>
              <w:between w:val="nil"/>
            </w:pBdr>
            <w:tabs>
              <w:tab w:val="left" w:pos="440"/>
              <w:tab w:val="right" w:pos="9350"/>
            </w:tabs>
            <w:spacing w:after="100"/>
            <w:rPr>
              <w:color w:val="000000"/>
            </w:rPr>
          </w:pPr>
          <w:hyperlink w:anchor="_heading=h.30j0zll">
            <w:r w:rsidR="00FA02C4">
              <w:rPr>
                <w:rFonts w:ascii="Times New Roman" w:eastAsia="Times New Roman" w:hAnsi="Times New Roman" w:cs="Times New Roman"/>
                <w:color w:val="000000"/>
              </w:rPr>
              <w:t>1.</w:t>
            </w:r>
          </w:hyperlink>
          <w:hyperlink w:anchor="_heading=h.30j0zll">
            <w:r w:rsidR="00FA02C4">
              <w:rPr>
                <w:color w:val="000000"/>
              </w:rPr>
              <w:tab/>
            </w:r>
          </w:hyperlink>
          <w:r w:rsidR="00FA02C4">
            <w:fldChar w:fldCharType="begin"/>
          </w:r>
          <w:r w:rsidR="00FA02C4">
            <w:instrText xml:space="preserve"> PAGEREF _heading=h.30j0zll \h </w:instrText>
          </w:r>
          <w:r w:rsidR="00FA02C4">
            <w:fldChar w:fldCharType="separate"/>
          </w:r>
          <w:r w:rsidR="00FA02C4">
            <w:rPr>
              <w:rFonts w:ascii="Times New Roman" w:eastAsia="Times New Roman" w:hAnsi="Times New Roman" w:cs="Times New Roman"/>
              <w:color w:val="000000"/>
            </w:rPr>
            <w:t>Eksami üldandmed</w:t>
          </w:r>
          <w:hyperlink w:anchor="_heading=h.30j0zll" w:history="1"/>
          <w:r w:rsidR="00FA02C4">
            <w:rPr>
              <w:color w:val="000000"/>
            </w:rPr>
            <w:tab/>
            <w:t>3</w:t>
          </w:r>
        </w:p>
        <w:p w:rsidR="00F90184" w:rsidRDefault="00FA02C4">
          <w:pPr>
            <w:pBdr>
              <w:top w:val="nil"/>
              <w:left w:val="nil"/>
              <w:bottom w:val="nil"/>
              <w:right w:val="nil"/>
              <w:between w:val="nil"/>
            </w:pBdr>
            <w:tabs>
              <w:tab w:val="left" w:pos="440"/>
              <w:tab w:val="right" w:pos="9350"/>
            </w:tabs>
            <w:spacing w:after="100"/>
            <w:rPr>
              <w:color w:val="000000"/>
            </w:rPr>
          </w:pPr>
          <w:r>
            <w:fldChar w:fldCharType="end"/>
          </w:r>
          <w:hyperlink w:anchor="_heading=h.3znysh7">
            <w:r>
              <w:rPr>
                <w:rFonts w:ascii="Times New Roman" w:eastAsia="Times New Roman" w:hAnsi="Times New Roman" w:cs="Times New Roman"/>
                <w:color w:val="000000"/>
              </w:rPr>
              <w:t>2.</w:t>
            </w:r>
          </w:hyperlink>
          <w:hyperlink w:anchor="_heading=h.3znysh7">
            <w:r>
              <w:rPr>
                <w:color w:val="000000"/>
              </w:rPr>
              <w:tab/>
            </w:r>
          </w:hyperlink>
          <w:r>
            <w:fldChar w:fldCharType="begin"/>
          </w:r>
          <w:r>
            <w:instrText xml:space="preserve"> PAGEREF _heading=h.3znysh7 \h </w:instrText>
          </w:r>
          <w:r>
            <w:fldChar w:fldCharType="separate"/>
          </w:r>
          <w:r>
            <w:rPr>
              <w:rFonts w:ascii="Times New Roman" w:eastAsia="Times New Roman" w:hAnsi="Times New Roman" w:cs="Times New Roman"/>
              <w:color w:val="000000"/>
            </w:rPr>
            <w:t>Eksami ülesehitus, vorm ja korraldus.</w:t>
          </w:r>
          <w:hyperlink w:anchor="_heading=h.3znysh7" w:history="1"/>
          <w:r>
            <w:rPr>
              <w:color w:val="000000"/>
            </w:rPr>
            <w:tab/>
            <w:t>3</w:t>
          </w:r>
        </w:p>
        <w:p w:rsidR="00F90184" w:rsidRDefault="00FA02C4">
          <w:pPr>
            <w:pBdr>
              <w:top w:val="nil"/>
              <w:left w:val="nil"/>
              <w:bottom w:val="nil"/>
              <w:right w:val="nil"/>
              <w:between w:val="nil"/>
            </w:pBdr>
            <w:tabs>
              <w:tab w:val="left" w:pos="440"/>
              <w:tab w:val="right" w:pos="9350"/>
            </w:tabs>
            <w:spacing w:after="100"/>
            <w:rPr>
              <w:color w:val="000000"/>
            </w:rPr>
          </w:pPr>
          <w:r>
            <w:fldChar w:fldCharType="end"/>
          </w:r>
          <w:hyperlink w:anchor="_heading=h.2et92p0">
            <w:r>
              <w:rPr>
                <w:rFonts w:ascii="Times New Roman" w:eastAsia="Times New Roman" w:hAnsi="Times New Roman" w:cs="Times New Roman"/>
                <w:color w:val="000000"/>
              </w:rPr>
              <w:t>3.</w:t>
            </w:r>
          </w:hyperlink>
          <w:hyperlink w:anchor="_heading=h.2et92p0">
            <w:r>
              <w:rPr>
                <w:color w:val="000000"/>
              </w:rPr>
              <w:tab/>
            </w:r>
          </w:hyperlink>
          <w:r>
            <w:fldChar w:fldCharType="begin"/>
          </w:r>
          <w:r>
            <w:instrText xml:space="preserve"> PAGEREF _heading=h.2et92p0 \h </w:instrText>
          </w:r>
          <w:r>
            <w:fldChar w:fldCharType="separate"/>
          </w:r>
          <w:r>
            <w:rPr>
              <w:rFonts w:ascii="Times New Roman" w:eastAsia="Times New Roman" w:hAnsi="Times New Roman" w:cs="Times New Roman"/>
              <w:color w:val="000000"/>
            </w:rPr>
            <w:t>Eksamil nõutud teadmiste ja oskuste tase.</w:t>
          </w:r>
          <w:hyperlink w:anchor="_heading=h.2et92p0" w:history="1"/>
          <w:r>
            <w:rPr>
              <w:color w:val="000000"/>
            </w:rPr>
            <w:tab/>
            <w:t>4</w:t>
          </w:r>
        </w:p>
        <w:p w:rsidR="00F90184" w:rsidRDefault="00FA02C4">
          <w:pPr>
            <w:pBdr>
              <w:top w:val="nil"/>
              <w:left w:val="nil"/>
              <w:bottom w:val="nil"/>
              <w:right w:val="nil"/>
              <w:between w:val="nil"/>
            </w:pBdr>
            <w:tabs>
              <w:tab w:val="left" w:pos="440"/>
              <w:tab w:val="right" w:pos="9350"/>
            </w:tabs>
            <w:spacing w:after="100"/>
            <w:rPr>
              <w:color w:val="000000"/>
            </w:rPr>
          </w:pPr>
          <w:r>
            <w:fldChar w:fldCharType="end"/>
          </w:r>
          <w:hyperlink w:anchor="_heading=h.tyjcwt">
            <w:r>
              <w:rPr>
                <w:color w:val="000000"/>
              </w:rPr>
              <w:t>4.</w:t>
            </w:r>
            <w:r>
              <w:rPr>
                <w:color w:val="000000"/>
              </w:rPr>
              <w:tab/>
            </w:r>
          </w:hyperlink>
          <w:r>
            <w:fldChar w:fldCharType="begin"/>
          </w:r>
          <w:r>
            <w:instrText xml:space="preserve"> PAGEREF _heading=h.tyjcwt \h </w:instrText>
          </w:r>
          <w:r>
            <w:fldChar w:fldCharType="separate"/>
          </w:r>
          <w:r>
            <w:rPr>
              <w:rFonts w:ascii="Times New Roman" w:eastAsia="Times New Roman" w:hAnsi="Times New Roman" w:cs="Times New Roman"/>
              <w:color w:val="000000"/>
            </w:rPr>
            <w:t>Eksamitöö hindamine</w:t>
          </w:r>
          <w:hyperlink w:anchor="_heading=h.tyjcwt" w:history="1"/>
          <w:r>
            <w:rPr>
              <w:color w:val="000000"/>
            </w:rPr>
            <w:tab/>
            <w:t>5</w:t>
          </w:r>
        </w:p>
        <w:p w:rsidR="00F90184" w:rsidRDefault="00FA02C4">
          <w:pPr>
            <w:pBdr>
              <w:top w:val="nil"/>
              <w:left w:val="nil"/>
              <w:bottom w:val="nil"/>
              <w:right w:val="nil"/>
              <w:between w:val="nil"/>
            </w:pBdr>
            <w:tabs>
              <w:tab w:val="left" w:pos="440"/>
              <w:tab w:val="right" w:pos="9350"/>
            </w:tabs>
            <w:spacing w:after="100"/>
            <w:rPr>
              <w:color w:val="000000"/>
            </w:rPr>
          </w:pPr>
          <w:r>
            <w:fldChar w:fldCharType="end"/>
          </w:r>
          <w:hyperlink w:anchor="_heading=h.3dy6vkm">
            <w:r>
              <w:rPr>
                <w:rFonts w:ascii="Times New Roman" w:eastAsia="Times New Roman" w:hAnsi="Times New Roman" w:cs="Times New Roman"/>
                <w:color w:val="000000"/>
              </w:rPr>
              <w:t>5.</w:t>
            </w:r>
          </w:hyperlink>
          <w:hyperlink w:anchor="_heading=h.3dy6vkm">
            <w:r>
              <w:rPr>
                <w:color w:val="000000"/>
              </w:rPr>
              <w:tab/>
            </w:r>
          </w:hyperlink>
          <w:r>
            <w:fldChar w:fldCharType="begin"/>
          </w:r>
          <w:r>
            <w:instrText xml:space="preserve"> PAGEREF _heading=h.3dy6vkm \h </w:instrText>
          </w:r>
          <w:r>
            <w:fldChar w:fldCharType="separate"/>
          </w:r>
          <w:r>
            <w:rPr>
              <w:rFonts w:ascii="Times New Roman" w:eastAsia="Times New Roman" w:hAnsi="Times New Roman" w:cs="Times New Roman"/>
              <w:color w:val="000000"/>
            </w:rPr>
            <w:t>Eksamitulemuste teatamine</w:t>
          </w:r>
          <w:hyperlink w:anchor="_heading=h.3dy6vkm" w:history="1"/>
          <w:r>
            <w:rPr>
              <w:color w:val="000000"/>
            </w:rPr>
            <w:tab/>
            <w:t>5</w:t>
          </w:r>
        </w:p>
        <w:p w:rsidR="00F90184" w:rsidRDefault="00FA02C4">
          <w:pPr>
            <w:pBdr>
              <w:top w:val="nil"/>
              <w:left w:val="nil"/>
              <w:bottom w:val="nil"/>
              <w:right w:val="nil"/>
              <w:between w:val="nil"/>
            </w:pBdr>
            <w:tabs>
              <w:tab w:val="left" w:pos="440"/>
              <w:tab w:val="right" w:pos="9350"/>
            </w:tabs>
            <w:spacing w:after="100"/>
            <w:rPr>
              <w:color w:val="000000"/>
            </w:rPr>
          </w:pPr>
          <w:r>
            <w:fldChar w:fldCharType="end"/>
          </w:r>
          <w:hyperlink w:anchor="_heading=h.1t3h5sf">
            <w:r>
              <w:rPr>
                <w:rFonts w:ascii="Times New Roman" w:eastAsia="Times New Roman" w:hAnsi="Times New Roman" w:cs="Times New Roman"/>
                <w:color w:val="000000"/>
              </w:rPr>
              <w:t>6.</w:t>
            </w:r>
          </w:hyperlink>
          <w:hyperlink w:anchor="_heading=h.1t3h5sf">
            <w:r>
              <w:rPr>
                <w:color w:val="000000"/>
              </w:rPr>
              <w:tab/>
            </w:r>
          </w:hyperlink>
          <w:r>
            <w:fldChar w:fldCharType="begin"/>
          </w:r>
          <w:r>
            <w:instrText xml:space="preserve"> PAGEREF _heading=h.1t3h5sf \h </w:instrText>
          </w:r>
          <w:r>
            <w:fldChar w:fldCharType="separate"/>
          </w:r>
          <w:r>
            <w:rPr>
              <w:rFonts w:ascii="Times New Roman" w:eastAsia="Times New Roman" w:hAnsi="Times New Roman" w:cs="Times New Roman"/>
              <w:color w:val="000000"/>
            </w:rPr>
            <w:t>Tulemuste apelleerimine</w:t>
          </w:r>
          <w:hyperlink w:anchor="_heading=h.1t3h5sf" w:history="1"/>
          <w:r>
            <w:rPr>
              <w:color w:val="000000"/>
            </w:rPr>
            <w:tab/>
            <w:t>5</w:t>
          </w:r>
        </w:p>
        <w:p w:rsidR="00F90184" w:rsidRDefault="00FA02C4">
          <w:pPr>
            <w:pBdr>
              <w:top w:val="nil"/>
              <w:left w:val="nil"/>
              <w:bottom w:val="nil"/>
              <w:right w:val="nil"/>
              <w:between w:val="nil"/>
            </w:pBdr>
            <w:tabs>
              <w:tab w:val="left" w:pos="440"/>
              <w:tab w:val="right" w:pos="9350"/>
            </w:tabs>
            <w:spacing w:after="100"/>
            <w:rPr>
              <w:color w:val="000000"/>
            </w:rPr>
          </w:pPr>
          <w:r>
            <w:fldChar w:fldCharType="end"/>
          </w:r>
          <w:hyperlink w:anchor="_heading=h.4d34og8">
            <w:r>
              <w:rPr>
                <w:rFonts w:ascii="Times New Roman" w:eastAsia="Times New Roman" w:hAnsi="Times New Roman" w:cs="Times New Roman"/>
                <w:color w:val="000000"/>
              </w:rPr>
              <w:t>7.</w:t>
            </w:r>
          </w:hyperlink>
          <w:hyperlink w:anchor="_heading=h.4d34og8">
            <w:r>
              <w:rPr>
                <w:color w:val="000000"/>
              </w:rPr>
              <w:tab/>
            </w:r>
          </w:hyperlink>
          <w:r>
            <w:fldChar w:fldCharType="begin"/>
          </w:r>
          <w:r>
            <w:instrText xml:space="preserve"> PAGEREF _heading=h.4d34og8 \h </w:instrText>
          </w:r>
          <w:r>
            <w:fldChar w:fldCharType="separate"/>
          </w:r>
          <w:r>
            <w:rPr>
              <w:rFonts w:ascii="Times New Roman" w:eastAsia="Times New Roman" w:hAnsi="Times New Roman" w:cs="Times New Roman"/>
              <w:color w:val="000000"/>
            </w:rPr>
            <w:t>Korduseksam</w:t>
          </w:r>
          <w:r>
            <w:rPr>
              <w:color w:val="000000"/>
            </w:rPr>
            <w:tab/>
            <w:t>5</w:t>
          </w:r>
          <w:r>
            <w:fldChar w:fldCharType="end"/>
          </w:r>
          <w:r>
            <w:fldChar w:fldCharType="end"/>
          </w:r>
        </w:p>
      </w:sdtContent>
    </w:sdt>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rPr>
          <w:rFonts w:ascii="Times New Roman" w:eastAsia="Times New Roman" w:hAnsi="Times New Roman" w:cs="Times New Roman"/>
          <w:sz w:val="24"/>
          <w:szCs w:val="24"/>
        </w:rPr>
      </w:pPr>
    </w:p>
    <w:p w:rsidR="00F90184" w:rsidRDefault="00F901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90184" w:rsidRDefault="00F90184">
      <w:pPr>
        <w:rPr>
          <w:rFonts w:ascii="Times New Roman" w:eastAsia="Times New Roman" w:hAnsi="Times New Roman" w:cs="Times New Roman"/>
          <w:sz w:val="24"/>
          <w:szCs w:val="24"/>
        </w:rPr>
      </w:pPr>
      <w:bookmarkStart w:id="2" w:name="_heading=h.30j0zll" w:colFirst="0" w:colLast="0"/>
      <w:bookmarkEnd w:id="2"/>
    </w:p>
    <w:p w:rsidR="00F90184" w:rsidRDefault="00FA02C4">
      <w:pPr>
        <w:pStyle w:val="Heading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Eksami </w:t>
      </w:r>
      <w:proofErr w:type="spellStart"/>
      <w:r>
        <w:rPr>
          <w:rFonts w:ascii="Times New Roman" w:eastAsia="Times New Roman" w:hAnsi="Times New Roman" w:cs="Times New Roman"/>
          <w:sz w:val="24"/>
          <w:szCs w:val="24"/>
        </w:rPr>
        <w:t>üldandmed</w:t>
      </w:r>
      <w:proofErr w:type="spellEnd"/>
      <w:r>
        <w:rPr>
          <w:rFonts w:ascii="Times New Roman" w:eastAsia="Times New Roman" w:hAnsi="Times New Roman" w:cs="Times New Roman"/>
          <w:sz w:val="24"/>
          <w:szCs w:val="24"/>
        </w:rPr>
        <w:br/>
      </w:r>
    </w:p>
    <w:p w:rsidR="00F90184" w:rsidRDefault="00FA02C4">
      <w:pPr>
        <w:pBdr>
          <w:top w:val="nil"/>
          <w:left w:val="nil"/>
          <w:bottom w:val="nil"/>
          <w:right w:val="nil"/>
          <w:between w:val="nil"/>
        </w:pBdr>
        <w:tabs>
          <w:tab w:val="left" w:pos="2016"/>
          <w:tab w:val="left" w:pos="3734"/>
          <w:tab w:val="left" w:pos="5741"/>
          <w:tab w:val="left" w:pos="7574"/>
        </w:tabs>
        <w:spacing w:before="38" w:after="0"/>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Koolieksami toimumise aluseks on haridus- ja teadusministri määrus nr 54 ("Tasemetööde ning põhikooli ja gümnaasiumi lõpueksamite ettevalmistamise, koostamise, läbiviimise ja hindamise tingimused ja kord ning tasemetööde, ühtsete põhikooli lõpueksamite ja riigieksamite tulemuste analüüsimise tingimused ja kord" </w:t>
      </w:r>
      <w:hyperlink r:id="rId9">
        <w:r>
          <w:rPr>
            <w:rFonts w:ascii="Times New Roman" w:eastAsia="Times New Roman" w:hAnsi="Times New Roman" w:cs="Times New Roman"/>
            <w:color w:val="0066CC"/>
            <w:sz w:val="24"/>
            <w:szCs w:val="24"/>
            <w:u w:val="single"/>
          </w:rPr>
          <w:t>https://www.riigiteataja.ee/akt/118122015012?leiaKehtiv</w:t>
        </w:r>
      </w:hyperlink>
      <w:r>
        <w:rPr>
          <w:rFonts w:ascii="Times New Roman" w:eastAsia="Times New Roman" w:hAnsi="Times New Roman" w:cs="Times New Roman"/>
          <w:color w:val="000000"/>
          <w:sz w:val="24"/>
          <w:szCs w:val="24"/>
        </w:rPr>
        <w:t>)</w:t>
      </w:r>
    </w:p>
    <w:p w:rsidR="00F90184" w:rsidRDefault="00F90184">
      <w:pPr>
        <w:pBdr>
          <w:top w:val="nil"/>
          <w:left w:val="nil"/>
          <w:bottom w:val="nil"/>
          <w:right w:val="nil"/>
          <w:between w:val="nil"/>
        </w:pBdr>
        <w:tabs>
          <w:tab w:val="left" w:pos="2016"/>
          <w:tab w:val="left" w:pos="3734"/>
          <w:tab w:val="left" w:pos="5741"/>
          <w:tab w:val="left" w:pos="7574"/>
        </w:tabs>
        <w:spacing w:before="38" w:after="0"/>
        <w:jc w:val="both"/>
        <w:rPr>
          <w:rFonts w:ascii="Times New Roman" w:eastAsia="Times New Roman" w:hAnsi="Times New Roman" w:cs="Times New Roman"/>
          <w:color w:val="000000"/>
          <w:sz w:val="24"/>
          <w:szCs w:val="24"/>
          <w:u w:val="single"/>
        </w:rPr>
      </w:pPr>
    </w:p>
    <w:p w:rsidR="00F90184" w:rsidRDefault="00F90184">
      <w:pPr>
        <w:pBdr>
          <w:top w:val="nil"/>
          <w:left w:val="nil"/>
          <w:bottom w:val="nil"/>
          <w:right w:val="nil"/>
          <w:between w:val="nil"/>
        </w:pBdr>
        <w:tabs>
          <w:tab w:val="left" w:pos="2016"/>
          <w:tab w:val="left" w:pos="3734"/>
          <w:tab w:val="left" w:pos="5741"/>
          <w:tab w:val="left" w:pos="7574"/>
        </w:tabs>
        <w:spacing w:before="38" w:after="0"/>
        <w:jc w:val="both"/>
        <w:rPr>
          <w:rFonts w:ascii="Times New Roman" w:eastAsia="Times New Roman" w:hAnsi="Times New Roman" w:cs="Times New Roman"/>
          <w:color w:val="000000"/>
          <w:sz w:val="24"/>
          <w:szCs w:val="24"/>
          <w:u w:val="single"/>
        </w:rPr>
      </w:pPr>
    </w:p>
    <w:p w:rsidR="00F90184" w:rsidRDefault="00F90184">
      <w:pPr>
        <w:pBdr>
          <w:top w:val="nil"/>
          <w:left w:val="nil"/>
          <w:bottom w:val="nil"/>
          <w:right w:val="nil"/>
          <w:between w:val="nil"/>
        </w:pBdr>
        <w:tabs>
          <w:tab w:val="left" w:pos="2016"/>
          <w:tab w:val="left" w:pos="3734"/>
          <w:tab w:val="left" w:pos="5741"/>
          <w:tab w:val="left" w:pos="7574"/>
        </w:tabs>
        <w:spacing w:before="38" w:after="0"/>
        <w:jc w:val="both"/>
        <w:rPr>
          <w:rFonts w:ascii="Times New Roman" w:eastAsia="Times New Roman" w:hAnsi="Times New Roman" w:cs="Times New Roman"/>
          <w:color w:val="000000"/>
          <w:sz w:val="24"/>
          <w:szCs w:val="24"/>
          <w:u w:val="single"/>
        </w:rPr>
      </w:pPr>
    </w:p>
    <w:p w:rsidR="00F90184" w:rsidRDefault="00FA02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highlight w:val="white"/>
        </w:rPr>
        <w:t>Koolieksameid võib sooritada kõigis gümnaasiumi riikliku õppekava kohustuslikes õppeainetes ja lisaks nendes valikainetes, mida on gümnaasiumiastmes õpitud vähemalt 105 õppetundi.</w:t>
      </w:r>
    </w:p>
    <w:p w:rsidR="00F90184" w:rsidRDefault="00F90184">
      <w:pPr>
        <w:spacing w:line="240" w:lineRule="auto"/>
        <w:jc w:val="both"/>
        <w:rPr>
          <w:rFonts w:ascii="Times New Roman" w:eastAsia="Times New Roman" w:hAnsi="Times New Roman" w:cs="Times New Roman"/>
          <w:sz w:val="24"/>
          <w:szCs w:val="24"/>
        </w:rPr>
      </w:pP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Eksami eesmärk:</w:t>
      </w:r>
    </w:p>
    <w:p w:rsidR="00F90184" w:rsidRDefault="00FA02C4">
      <w:pPr>
        <w:numPr>
          <w:ilvl w:val="0"/>
          <w:numId w:val="3"/>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Hinnata õpilaste riiklikus õppekavas määratletud õpitulemuste saavutamist füüsikas, keemias, bioloogias, ajaloos, geograafias, vene keeles, kirjanduses, muusikas, saksa keeles ja kehalises kasvatuses;</w:t>
      </w:r>
    </w:p>
    <w:p w:rsidR="00F90184" w:rsidRDefault="00FA02C4">
      <w:pPr>
        <w:numPr>
          <w:ilvl w:val="0"/>
          <w:numId w:val="3"/>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Suunata eksami sisu ja vormi kaudu õppeprotsessi;</w:t>
      </w:r>
    </w:p>
    <w:p w:rsidR="00F90184" w:rsidRDefault="00FA02C4">
      <w:pPr>
        <w:numPr>
          <w:ilvl w:val="0"/>
          <w:numId w:val="3"/>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Saada ülevaade õppimise/õpetamise tulemuslikkusest koolis;</w:t>
      </w:r>
    </w:p>
    <w:p w:rsidR="00F90184" w:rsidRDefault="00FA02C4">
      <w:pPr>
        <w:numPr>
          <w:ilvl w:val="0"/>
          <w:numId w:val="3"/>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Motiveerida õpilasi  õppima neid  õppeaineid, mis ei ole riigieksami ained;</w:t>
      </w:r>
    </w:p>
    <w:p w:rsidR="00F90184" w:rsidRDefault="00FA02C4">
      <w:pPr>
        <w:numPr>
          <w:ilvl w:val="0"/>
          <w:numId w:val="3"/>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Anda 11.klassi õpilastel võimalus sooritada gümnaasiumi koolieksam keemias, kuna keemiakursus lõpeb 11.klassis.</w:t>
      </w:r>
    </w:p>
    <w:p w:rsidR="00F90184" w:rsidRDefault="00F9018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Koolieksamist vabastamine:</w:t>
      </w: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Koolieksami sooritamisest võib olla vabastatud gümnaasiumi õpilane, kes:</w:t>
      </w:r>
    </w:p>
    <w:p w:rsidR="00F90184" w:rsidRDefault="00FA02C4">
      <w:pPr>
        <w:numPr>
          <w:ilvl w:val="0"/>
          <w:numId w:val="4"/>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on pääsenud mõne aineolümpiaadi vabariiklikku vooru või osales rahvusvahelisel olümpiaadil (konkursil jms) gümnaasiumi astmes õppimise kestel;</w:t>
      </w:r>
    </w:p>
    <w:p w:rsidR="00F90184" w:rsidRDefault="00FA02C4">
      <w:pPr>
        <w:numPr>
          <w:ilvl w:val="0"/>
          <w:numId w:val="4"/>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sooritas saksa keele taseme eksami vähemalt B1 keeleoskuse tasemele ning on koolile hiljemalt jooksva õppeaasta 15. veebruariks esitanud vähemalt jooksva õppeaasta 31. augustini kehtiva eksamitunnistuse või tõendi;</w:t>
      </w:r>
    </w:p>
    <w:p w:rsidR="00F90184" w:rsidRDefault="00FA02C4">
      <w:pPr>
        <w:numPr>
          <w:ilvl w:val="0"/>
          <w:numId w:val="4"/>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on gümnaasiumi astmes õppimise kestel näidanud spordis silmapaistvaid tulemusi vabariiklikul ja rahvusvahelisel tasemel või kuulunud Eesti koondise koosseisu ning on koolile hiljemalt jooksva õppeaasta 15. veebruariks esitanud vastava tõendi;</w:t>
      </w:r>
    </w:p>
    <w:p w:rsidR="00F90184" w:rsidRDefault="00FA02C4">
      <w:pPr>
        <w:numPr>
          <w:ilvl w:val="0"/>
          <w:numId w:val="4"/>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on gümnaasiumi astmes õppimise kestel näidanud muusikas silmapaistvaid tulemusi vabariiklikul ja rahvusvahelisel tasemel ning on koolile hiljemalt jooksva õppeaasta 15. veebruariks esitanud vastavad diplomid või tunnistused;</w:t>
      </w:r>
    </w:p>
    <w:p w:rsidR="00F90184" w:rsidRDefault="00FA02C4">
      <w:pPr>
        <w:numPr>
          <w:ilvl w:val="0"/>
          <w:numId w:val="4"/>
        </w:numPr>
        <w:pBdr>
          <w:top w:val="nil"/>
          <w:left w:val="nil"/>
          <w:bottom w:val="nil"/>
          <w:right w:val="nil"/>
          <w:between w:val="nil"/>
        </w:pBdr>
        <w:spacing w:line="240" w:lineRule="auto"/>
        <w:ind w:left="0" w:firstLine="0"/>
        <w:jc w:val="both"/>
        <w:rPr>
          <w:color w:val="000000"/>
          <w:sz w:val="24"/>
          <w:szCs w:val="24"/>
        </w:rPr>
      </w:pPr>
      <w:bookmarkStart w:id="4" w:name="_heading=h.3znysh7" w:colFirst="0" w:colLast="0"/>
      <w:bookmarkEnd w:id="4"/>
      <w:r>
        <w:rPr>
          <w:rFonts w:ascii="Times New Roman" w:eastAsia="Times New Roman" w:hAnsi="Times New Roman" w:cs="Times New Roman"/>
          <w:color w:val="000000"/>
          <w:sz w:val="24"/>
          <w:szCs w:val="24"/>
        </w:rPr>
        <w:t>Koolieksamist vabastatud õpilased hinnatakse vastavas aines hindega „5“.</w:t>
      </w:r>
    </w:p>
    <w:p w:rsidR="00F90184" w:rsidRDefault="00FA02C4">
      <w:pPr>
        <w:pStyle w:val="Heading1"/>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Eksami ülesehitus, vorm ja korraldus.</w:t>
      </w:r>
    </w:p>
    <w:p w:rsidR="00F90184" w:rsidRDefault="00F901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90184" w:rsidRDefault="00FA02C4">
      <w:pPr>
        <w:numPr>
          <w:ilvl w:val="0"/>
          <w:numId w:val="7"/>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Gümnaasiumi koolieksam võib olla: kirjalik, suuline, kirjalik ja suuline.</w:t>
      </w:r>
    </w:p>
    <w:p w:rsidR="00F90184" w:rsidRDefault="00FA02C4">
      <w:pPr>
        <w:numPr>
          <w:ilvl w:val="0"/>
          <w:numId w:val="7"/>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lastRenderedPageBreak/>
        <w:t xml:space="preserve">Eksami kuupäev, kellaaeg ja eksamikomisjon määratakse direktori käskkirjaga vähemalt 2 nädalat enne eksami toimumist, arvestades ministri määruses sätestatud nõudeid. </w:t>
      </w:r>
    </w:p>
    <w:p w:rsidR="00F90184" w:rsidRDefault="00FA02C4">
      <w:pPr>
        <w:numPr>
          <w:ilvl w:val="0"/>
          <w:numId w:val="7"/>
        </w:numPr>
        <w:pBdr>
          <w:top w:val="nil"/>
          <w:left w:val="nil"/>
          <w:bottom w:val="nil"/>
          <w:right w:val="nil"/>
          <w:between w:val="nil"/>
        </w:pBdr>
        <w:tabs>
          <w:tab w:val="left" w:pos="691"/>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Koolieksami valmistab ette kooli direktori käskkirjaga määratud ettevalmistav komisjon. </w:t>
      </w:r>
    </w:p>
    <w:p w:rsidR="00F90184" w:rsidRDefault="00FA02C4">
      <w:pPr>
        <w:numPr>
          <w:ilvl w:val="0"/>
          <w:numId w:val="6"/>
        </w:numPr>
        <w:pBdr>
          <w:top w:val="nil"/>
          <w:left w:val="nil"/>
          <w:bottom w:val="nil"/>
          <w:right w:val="nil"/>
          <w:between w:val="nil"/>
        </w:pBdr>
        <w:tabs>
          <w:tab w:val="left" w:pos="691"/>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Ettevalmistav komisjon tagab eksamitööde sisulise ja vormilise ettevalmistamise.</w:t>
      </w:r>
    </w:p>
    <w:p w:rsidR="00F90184" w:rsidRDefault="00FA02C4">
      <w:pPr>
        <w:numPr>
          <w:ilvl w:val="0"/>
          <w:numId w:val="6"/>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Teemade, kordamisküsimuste, eksamiülesannete ja hindamisjuhendite/näidisvastuste ettevalmistamine on aineõpetajate ja ainekomisjonide ülesanne. </w:t>
      </w:r>
    </w:p>
    <w:p w:rsidR="00F90184" w:rsidRDefault="00FA02C4">
      <w:pPr>
        <w:numPr>
          <w:ilvl w:val="0"/>
          <w:numId w:val="6"/>
        </w:numPr>
        <w:pBdr>
          <w:top w:val="nil"/>
          <w:left w:val="nil"/>
          <w:bottom w:val="nil"/>
          <w:right w:val="nil"/>
          <w:between w:val="nil"/>
        </w:pBdr>
        <w:spacing w:after="0" w:line="240" w:lineRule="auto"/>
        <w:ind w:left="284" w:hanging="284"/>
        <w:jc w:val="both"/>
        <w:rPr>
          <w:color w:val="000000"/>
          <w:sz w:val="24"/>
          <w:szCs w:val="24"/>
        </w:rPr>
      </w:pPr>
      <w:r>
        <w:rPr>
          <w:rFonts w:ascii="Times New Roman" w:eastAsia="Times New Roman" w:hAnsi="Times New Roman" w:cs="Times New Roman"/>
          <w:color w:val="000000"/>
          <w:sz w:val="24"/>
          <w:szCs w:val="24"/>
        </w:rPr>
        <w:t xml:space="preserve">       Eksami toimumise kohaks on Tallinna Mustamäe Reaalgümnaasium, aadress Vilde tee 64, Tallinn</w:t>
      </w:r>
    </w:p>
    <w:p w:rsidR="00F90184" w:rsidRDefault="00F901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90184" w:rsidRDefault="00FA02C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Kirjaliku eksami pikkus on märgitud eksamitööle.</w:t>
      </w:r>
    </w:p>
    <w:p w:rsidR="00F90184" w:rsidRDefault="00F9018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F90184" w:rsidRDefault="00FA02C4">
      <w:pPr>
        <w:pBdr>
          <w:top w:val="nil"/>
          <w:left w:val="nil"/>
          <w:bottom w:val="nil"/>
          <w:right w:val="nil"/>
          <w:between w:val="nil"/>
        </w:pBdr>
        <w:spacing w:before="96"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Eksami ruumis</w:t>
      </w:r>
    </w:p>
    <w:p w:rsidR="00F90184" w:rsidRDefault="00FA02C4">
      <w:pPr>
        <w:numPr>
          <w:ilvl w:val="0"/>
          <w:numId w:val="1"/>
        </w:numPr>
        <w:pBdr>
          <w:top w:val="nil"/>
          <w:left w:val="nil"/>
          <w:bottom w:val="nil"/>
          <w:right w:val="nil"/>
          <w:between w:val="nil"/>
        </w:pBdr>
        <w:spacing w:before="34" w:after="0" w:line="240" w:lineRule="auto"/>
        <w:ind w:left="714" w:right="1690" w:hanging="357"/>
        <w:jc w:val="both"/>
        <w:rPr>
          <w:color w:val="000000"/>
          <w:sz w:val="24"/>
          <w:szCs w:val="24"/>
        </w:rPr>
      </w:pPr>
      <w:r>
        <w:rPr>
          <w:rFonts w:ascii="Times New Roman" w:eastAsia="Times New Roman" w:hAnsi="Times New Roman" w:cs="Times New Roman"/>
          <w:color w:val="000000"/>
          <w:sz w:val="24"/>
          <w:szCs w:val="24"/>
        </w:rPr>
        <w:t>Eksaminandid istuvad eksamiruumis ühekaupa.</w:t>
      </w:r>
    </w:p>
    <w:p w:rsidR="00F90184" w:rsidRDefault="00FA02C4">
      <w:pPr>
        <w:numPr>
          <w:ilvl w:val="0"/>
          <w:numId w:val="1"/>
        </w:numPr>
        <w:pBdr>
          <w:top w:val="nil"/>
          <w:left w:val="nil"/>
          <w:bottom w:val="nil"/>
          <w:right w:val="nil"/>
          <w:between w:val="nil"/>
        </w:pBdr>
        <w:spacing w:after="0" w:line="240" w:lineRule="auto"/>
        <w:ind w:left="714" w:hanging="357"/>
        <w:jc w:val="both"/>
        <w:rPr>
          <w:color w:val="000000"/>
          <w:sz w:val="24"/>
          <w:szCs w:val="24"/>
        </w:rPr>
      </w:pPr>
      <w:r>
        <w:rPr>
          <w:rFonts w:ascii="Times New Roman" w:eastAsia="Times New Roman" w:hAnsi="Times New Roman" w:cs="Times New Roman"/>
          <w:color w:val="000000"/>
          <w:sz w:val="24"/>
          <w:szCs w:val="24"/>
        </w:rPr>
        <w:t xml:space="preserve">Eksaminandil ei ole lubatud eksami ajal eksamiruumist lahkuda. Kui  kirjaliku eksami ajal see siiski on mingil põhjusel vajalik, siis märgib eksamikomisjon eksamitööle eksamiruumist lahkumise ja sinna naasmise aja ning märgib eksami toimumise protokolli eksamiruumist lahkumise põhjuse. Kui eksaminand lõpetab kirjaliku eksami eksamiülesannete lahendamise ettenähtust varem, siis on tal lubatud pärast eksamitöö üleandmist eksamiruumist lahkuda. </w:t>
      </w:r>
    </w:p>
    <w:p w:rsidR="00F90184" w:rsidRDefault="00FA02C4">
      <w:pPr>
        <w:numPr>
          <w:ilvl w:val="0"/>
          <w:numId w:val="1"/>
        </w:numPr>
        <w:pBdr>
          <w:top w:val="nil"/>
          <w:left w:val="nil"/>
          <w:bottom w:val="nil"/>
          <w:right w:val="nil"/>
          <w:between w:val="nil"/>
        </w:pBdr>
        <w:spacing w:before="38" w:after="0" w:line="240" w:lineRule="auto"/>
        <w:ind w:left="714" w:hanging="357"/>
        <w:jc w:val="both"/>
        <w:rPr>
          <w:color w:val="000000"/>
          <w:sz w:val="24"/>
          <w:szCs w:val="24"/>
        </w:rPr>
      </w:pPr>
      <w:r>
        <w:rPr>
          <w:rFonts w:ascii="Times New Roman" w:eastAsia="Times New Roman" w:hAnsi="Times New Roman" w:cs="Times New Roman"/>
          <w:color w:val="000000"/>
          <w:sz w:val="24"/>
          <w:szCs w:val="24"/>
        </w:rPr>
        <w:t>Kirjalik eksamitöö kirjutatakse sinise või musta tindi või pastaga. Hariliku pliiatsiga kirjutatut ei arvestata. Paranduste tegemisel tõmmatakse vale vastus maha ja kirjutatakse kõrvale või järele uus vastus. Vastust üle kirjutada ega korrektorit kasutada ei ole lubatud.</w:t>
      </w:r>
    </w:p>
    <w:p w:rsidR="00F90184" w:rsidRDefault="00FA02C4">
      <w:pPr>
        <w:numPr>
          <w:ilvl w:val="0"/>
          <w:numId w:val="1"/>
        </w:numPr>
        <w:pBdr>
          <w:top w:val="nil"/>
          <w:left w:val="nil"/>
          <w:bottom w:val="nil"/>
          <w:right w:val="nil"/>
          <w:between w:val="nil"/>
        </w:pBdr>
        <w:spacing w:after="0" w:line="240" w:lineRule="auto"/>
        <w:ind w:left="714" w:hanging="357"/>
        <w:jc w:val="both"/>
        <w:rPr>
          <w:color w:val="000000"/>
          <w:sz w:val="24"/>
          <w:szCs w:val="24"/>
        </w:rPr>
      </w:pPr>
      <w:r>
        <w:rPr>
          <w:rFonts w:ascii="Times New Roman" w:eastAsia="Times New Roman" w:hAnsi="Times New Roman" w:cs="Times New Roman"/>
          <w:color w:val="000000"/>
          <w:sz w:val="24"/>
          <w:szCs w:val="24"/>
        </w:rPr>
        <w:t>Eksaminand kasutab eksamil isiklikke kirjutus- ja joonestusvahendeid. Kasutamine oleneb eksami juhendist.</w:t>
      </w:r>
    </w:p>
    <w:p w:rsidR="00F90184" w:rsidRDefault="00FA02C4">
      <w:pPr>
        <w:numPr>
          <w:ilvl w:val="0"/>
          <w:numId w:val="1"/>
        </w:numPr>
        <w:pBdr>
          <w:top w:val="nil"/>
          <w:left w:val="nil"/>
          <w:bottom w:val="nil"/>
          <w:right w:val="nil"/>
          <w:between w:val="nil"/>
        </w:pBdr>
        <w:tabs>
          <w:tab w:val="left" w:pos="720"/>
        </w:tabs>
        <w:spacing w:before="24" w:after="0" w:line="240" w:lineRule="auto"/>
        <w:ind w:left="714" w:hanging="357"/>
        <w:jc w:val="both"/>
        <w:rPr>
          <w:color w:val="000000"/>
          <w:sz w:val="24"/>
          <w:szCs w:val="24"/>
        </w:rPr>
      </w:pPr>
      <w:r>
        <w:rPr>
          <w:rFonts w:ascii="Times New Roman" w:eastAsia="Times New Roman" w:hAnsi="Times New Roman" w:cs="Times New Roman"/>
          <w:color w:val="000000"/>
          <w:sz w:val="24"/>
          <w:szCs w:val="24"/>
        </w:rPr>
        <w:t>Eksaminandidel ei ole lubatud eksamitöö ajal üksteisele kirjutus- ja joonestusvahendeid laenata.</w:t>
      </w:r>
    </w:p>
    <w:p w:rsidR="00F90184" w:rsidRDefault="00FA02C4">
      <w:pPr>
        <w:numPr>
          <w:ilvl w:val="0"/>
          <w:numId w:val="1"/>
        </w:numPr>
        <w:pBdr>
          <w:top w:val="nil"/>
          <w:left w:val="nil"/>
          <w:bottom w:val="nil"/>
          <w:right w:val="nil"/>
          <w:between w:val="nil"/>
        </w:pBdr>
        <w:spacing w:after="0" w:line="240" w:lineRule="auto"/>
        <w:ind w:left="714" w:hanging="357"/>
        <w:jc w:val="both"/>
        <w:rPr>
          <w:color w:val="000000"/>
          <w:sz w:val="24"/>
          <w:szCs w:val="24"/>
        </w:rPr>
      </w:pPr>
      <w:r>
        <w:rPr>
          <w:rFonts w:ascii="Times New Roman" w:eastAsia="Times New Roman" w:hAnsi="Times New Roman" w:cs="Times New Roman"/>
          <w:color w:val="000000"/>
          <w:sz w:val="24"/>
          <w:szCs w:val="24"/>
        </w:rPr>
        <w:t>Mobiiltelefoni kasutamine mis tahes eesmärgil on keelatud.</w:t>
      </w:r>
    </w:p>
    <w:p w:rsidR="00F90184" w:rsidRDefault="00F90184">
      <w:pPr>
        <w:pBdr>
          <w:top w:val="nil"/>
          <w:left w:val="nil"/>
          <w:bottom w:val="nil"/>
          <w:right w:val="nil"/>
          <w:between w:val="nil"/>
        </w:pBdr>
        <w:spacing w:before="101" w:after="0" w:line="240" w:lineRule="auto"/>
        <w:rPr>
          <w:rFonts w:ascii="Times New Roman" w:eastAsia="Times New Roman" w:hAnsi="Times New Roman" w:cs="Times New Roman"/>
          <w:b/>
          <w:color w:val="000000"/>
        </w:rPr>
      </w:pPr>
    </w:p>
    <w:p w:rsidR="00F90184" w:rsidRDefault="00FA02C4">
      <w:pPr>
        <w:pBdr>
          <w:top w:val="nil"/>
          <w:left w:val="nil"/>
          <w:bottom w:val="nil"/>
          <w:right w:val="nil"/>
          <w:between w:val="nil"/>
        </w:pBdr>
        <w:spacing w:before="101"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Eksamilt kõrvaldamine</w:t>
      </w:r>
    </w:p>
    <w:p w:rsidR="00F90184" w:rsidRDefault="00F90184">
      <w:pPr>
        <w:pBdr>
          <w:top w:val="nil"/>
          <w:left w:val="nil"/>
          <w:bottom w:val="nil"/>
          <w:right w:val="nil"/>
          <w:between w:val="nil"/>
        </w:pBdr>
        <w:spacing w:before="101" w:after="0" w:line="240" w:lineRule="auto"/>
        <w:rPr>
          <w:rFonts w:ascii="Times New Roman" w:eastAsia="Times New Roman" w:hAnsi="Times New Roman" w:cs="Times New Roman"/>
          <w:color w:val="000000"/>
          <w:sz w:val="16"/>
          <w:szCs w:val="16"/>
        </w:rPr>
      </w:pPr>
    </w:p>
    <w:p w:rsidR="00F90184" w:rsidRDefault="00FA02C4">
      <w:pPr>
        <w:pBdr>
          <w:top w:val="nil"/>
          <w:left w:val="nil"/>
          <w:bottom w:val="nil"/>
          <w:right w:val="nil"/>
          <w:between w:val="nil"/>
        </w:pBdr>
        <w:spacing w:before="19" w:after="0"/>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color w:val="000000"/>
          <w:sz w:val="24"/>
          <w:szCs w:val="24"/>
        </w:rPr>
        <w:t>Eksamilt eemaldatakse juhul, kui eksaminand kasutab eksami sooritamisel kõrvalist abi või kirjutab maha, üritab seda teha või aitab sellele kaasa; kui eksaminandi käitumine häirib eksami läbiviimist või teisi õpilasi.</w:t>
      </w:r>
    </w:p>
    <w:p w:rsidR="00F90184" w:rsidRDefault="00FA02C4">
      <w:pPr>
        <w:pStyle w:val="Heading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Eksamil nõutud teadmiste ja oskuste tase.</w:t>
      </w:r>
    </w:p>
    <w:p w:rsidR="00F90184" w:rsidRDefault="00F90184"/>
    <w:p w:rsidR="00F90184" w:rsidRDefault="00FA02C4">
      <w:pPr>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Eksami koostamisel arvestatakse kehtivat gümnaasiumi riiklikku õppekava; lähtutakse füüsika, keemia, bioloogia, ajaloo, geograafia, vene keele, kirjanduse, muusika, saksa keele ja kehalise kasvatuse ainekavas toodud õppesisust ja õpitulemustest ning kooli õppekavas toodud </w:t>
      </w:r>
      <w:proofErr w:type="spellStart"/>
      <w:r>
        <w:rPr>
          <w:rFonts w:ascii="Times New Roman" w:eastAsia="Times New Roman" w:hAnsi="Times New Roman" w:cs="Times New Roman"/>
          <w:color w:val="000000"/>
          <w:sz w:val="24"/>
          <w:szCs w:val="24"/>
        </w:rPr>
        <w:t>üldpädevustest</w:t>
      </w:r>
      <w:proofErr w:type="spellEnd"/>
      <w:r>
        <w:rPr>
          <w:rFonts w:ascii="Times New Roman" w:eastAsia="Times New Roman" w:hAnsi="Times New Roman" w:cs="Times New Roman"/>
          <w:color w:val="000000"/>
          <w:sz w:val="24"/>
          <w:szCs w:val="24"/>
        </w:rPr>
        <w:t>.</w:t>
      </w: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Küsimused ja ülesanded hõlmavad järgmisi tasandeid:</w:t>
      </w:r>
    </w:p>
    <w:p w:rsidR="00F90184" w:rsidRDefault="00FA02C4">
      <w:pPr>
        <w:numPr>
          <w:ilvl w:val="0"/>
          <w:numId w:val="5"/>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lastRenderedPageBreak/>
        <w:t>Teadmised;</w:t>
      </w:r>
    </w:p>
    <w:p w:rsidR="00F90184" w:rsidRDefault="00FA02C4">
      <w:pPr>
        <w:numPr>
          <w:ilvl w:val="0"/>
          <w:numId w:val="5"/>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Teadmiste rakendamine;</w:t>
      </w:r>
    </w:p>
    <w:p w:rsidR="00F90184" w:rsidRDefault="00FA02C4">
      <w:pPr>
        <w:numPr>
          <w:ilvl w:val="0"/>
          <w:numId w:val="5"/>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Mõistmine/arusaamine;</w:t>
      </w:r>
    </w:p>
    <w:p w:rsidR="00F90184" w:rsidRDefault="00FA02C4">
      <w:pPr>
        <w:numPr>
          <w:ilvl w:val="0"/>
          <w:numId w:val="5"/>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Analüüs ja süntees;</w:t>
      </w:r>
    </w:p>
    <w:p w:rsidR="00F90184" w:rsidRDefault="00FA02C4">
      <w:pPr>
        <w:numPr>
          <w:ilvl w:val="0"/>
          <w:numId w:val="5"/>
        </w:numPr>
        <w:pBdr>
          <w:top w:val="nil"/>
          <w:left w:val="nil"/>
          <w:bottom w:val="nil"/>
          <w:right w:val="nil"/>
          <w:between w:val="nil"/>
        </w:pBdr>
        <w:spacing w:line="240" w:lineRule="auto"/>
        <w:ind w:left="0" w:firstLine="0"/>
        <w:jc w:val="both"/>
        <w:rPr>
          <w:color w:val="000000"/>
          <w:sz w:val="24"/>
          <w:szCs w:val="24"/>
        </w:rPr>
      </w:pPr>
      <w:bookmarkStart w:id="6" w:name="_heading=h.tyjcwt" w:colFirst="0" w:colLast="0"/>
      <w:bookmarkEnd w:id="6"/>
      <w:r>
        <w:rPr>
          <w:rFonts w:ascii="Times New Roman" w:eastAsia="Times New Roman" w:hAnsi="Times New Roman" w:cs="Times New Roman"/>
          <w:color w:val="000000"/>
          <w:sz w:val="24"/>
          <w:szCs w:val="24"/>
        </w:rPr>
        <w:t>Hinnangu andmine.</w:t>
      </w:r>
    </w:p>
    <w:p w:rsidR="00F90184" w:rsidRDefault="00FA02C4">
      <w:pPr>
        <w:pStyle w:val="Heading1"/>
        <w:numPr>
          <w:ilvl w:val="0"/>
          <w:numId w:val="8"/>
        </w:numPr>
      </w:pPr>
      <w:r>
        <w:rPr>
          <w:rFonts w:ascii="Times New Roman" w:eastAsia="Times New Roman" w:hAnsi="Times New Roman" w:cs="Times New Roman"/>
          <w:sz w:val="24"/>
          <w:szCs w:val="24"/>
        </w:rPr>
        <w:t>Eksamitöö hindamine</w:t>
      </w:r>
      <w:r>
        <w:rPr>
          <w:rFonts w:ascii="Times New Roman" w:eastAsia="Times New Roman" w:hAnsi="Times New Roman" w:cs="Times New Roman"/>
          <w:sz w:val="24"/>
          <w:szCs w:val="24"/>
        </w:rPr>
        <w:br/>
      </w: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Kõik kirjalikud eksamitööd ja suulised vastused hinnatakse vastava eksamikomisjoni poolt, kuhu kuuluvad antud ainevaldkonna esindajad. Eksamikomisjon on moodustatud direktori käskkirjaga ning komisjoni ülesandeks on eksami läbiviimine ja eksamitööde parandamine.</w:t>
      </w: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Hindamisprotsessis osaleb iga komisjoni liige. Kirjaliku eksamitöö kõik vastused kontrollitakse iga komisjoni liikme poolt. Detailne hindamisjuhend on koostatud eksamit ettevalmistava komisjoni poolt ning iga aine eksami jaoks eraldi.</w:t>
      </w:r>
    </w:p>
    <w:p w:rsidR="00F90184" w:rsidRDefault="00F90184">
      <w:pPr>
        <w:spacing w:line="240" w:lineRule="auto"/>
        <w:rPr>
          <w:rFonts w:ascii="Times New Roman" w:eastAsia="Times New Roman" w:hAnsi="Times New Roman" w:cs="Times New Roman"/>
          <w:sz w:val="24"/>
          <w:szCs w:val="24"/>
        </w:rPr>
      </w:pPr>
    </w:p>
    <w:tbl>
      <w:tblPr>
        <w:tblStyle w:val="a0"/>
        <w:tblW w:w="8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8"/>
        <w:gridCol w:w="2721"/>
        <w:gridCol w:w="4128"/>
      </w:tblGrid>
      <w:tr w:rsidR="00F90184">
        <w:tc>
          <w:tcPr>
            <w:tcW w:w="1498" w:type="dxa"/>
          </w:tcPr>
          <w:p w:rsidR="00F90184" w:rsidRDefault="00FA0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721"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Protsent</w:t>
            </w:r>
          </w:p>
        </w:tc>
        <w:tc>
          <w:tcPr>
            <w:tcW w:w="4128"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w:t>
            </w:r>
          </w:p>
        </w:tc>
      </w:tr>
      <w:tr w:rsidR="00F90184">
        <w:tc>
          <w:tcPr>
            <w:tcW w:w="1498" w:type="dxa"/>
          </w:tcPr>
          <w:p w:rsidR="00F90184" w:rsidRDefault="00FA02C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2721"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90-100 %</w:t>
            </w:r>
          </w:p>
        </w:tc>
        <w:tc>
          <w:tcPr>
            <w:tcW w:w="4128"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hinne - väga hea „5"</w:t>
            </w:r>
          </w:p>
        </w:tc>
      </w:tr>
      <w:tr w:rsidR="00F90184">
        <w:tc>
          <w:tcPr>
            <w:tcW w:w="1498" w:type="dxa"/>
          </w:tcPr>
          <w:p w:rsidR="00F90184" w:rsidRDefault="00FA02C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21"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75-89 %</w:t>
            </w:r>
          </w:p>
        </w:tc>
        <w:tc>
          <w:tcPr>
            <w:tcW w:w="4128" w:type="dxa"/>
          </w:tcPr>
          <w:p w:rsidR="00F90184" w:rsidRDefault="00FA02C4">
            <w:pPr>
              <w:pBdr>
                <w:top w:val="nil"/>
                <w:left w:val="nil"/>
                <w:bottom w:val="nil"/>
                <w:right w:val="nil"/>
                <w:between w:val="nil"/>
              </w:pBdr>
              <w:spacing w:before="5" w:after="0" w:line="240" w:lineRule="auto"/>
              <w:ind w:left="27" w:right="2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hinne - hea „4"</w:t>
            </w:r>
          </w:p>
        </w:tc>
      </w:tr>
      <w:tr w:rsidR="00F90184">
        <w:tc>
          <w:tcPr>
            <w:tcW w:w="1498" w:type="dxa"/>
          </w:tcPr>
          <w:p w:rsidR="00F90184" w:rsidRDefault="00FA02C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21" w:type="dxa"/>
          </w:tcPr>
          <w:p w:rsidR="00F90184" w:rsidRDefault="00FA02C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50-74 %</w:t>
            </w:r>
          </w:p>
        </w:tc>
        <w:tc>
          <w:tcPr>
            <w:tcW w:w="4128"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Hinne -  rahuldav „3"</w:t>
            </w:r>
          </w:p>
        </w:tc>
      </w:tr>
      <w:tr w:rsidR="00F90184">
        <w:tc>
          <w:tcPr>
            <w:tcW w:w="1498" w:type="dxa"/>
          </w:tcPr>
          <w:p w:rsidR="00F90184" w:rsidRDefault="00FA02C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21"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20-49 %</w:t>
            </w:r>
          </w:p>
        </w:tc>
        <w:tc>
          <w:tcPr>
            <w:tcW w:w="4128" w:type="dxa"/>
          </w:tcPr>
          <w:p w:rsidR="00F90184" w:rsidRDefault="00FA0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hinne - puudulik „2"</w:t>
            </w:r>
          </w:p>
        </w:tc>
      </w:tr>
      <w:tr w:rsidR="00F90184">
        <w:tc>
          <w:tcPr>
            <w:tcW w:w="1498" w:type="dxa"/>
          </w:tcPr>
          <w:p w:rsidR="00F90184" w:rsidRDefault="00FA02C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21" w:type="dxa"/>
          </w:tcPr>
          <w:p w:rsidR="00F90184" w:rsidRDefault="00FA02C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0-19 %</w:t>
            </w:r>
          </w:p>
        </w:tc>
        <w:tc>
          <w:tcPr>
            <w:tcW w:w="4128" w:type="dxa"/>
          </w:tcPr>
          <w:p w:rsidR="00F90184" w:rsidRDefault="00FA02C4">
            <w:pPr>
              <w:pBdr>
                <w:top w:val="nil"/>
                <w:left w:val="nil"/>
                <w:bottom w:val="nil"/>
                <w:right w:val="nil"/>
                <w:between w:val="nil"/>
              </w:pBdr>
              <w:spacing w:after="0"/>
              <w:ind w:left="17" w:right="17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hinne - nõrk „1"</w:t>
            </w:r>
          </w:p>
        </w:tc>
      </w:tr>
    </w:tbl>
    <w:p w:rsidR="00F90184" w:rsidRDefault="00FA02C4">
      <w:pPr>
        <w:pStyle w:val="Heading1"/>
        <w:numPr>
          <w:ilvl w:val="0"/>
          <w:numId w:val="8"/>
        </w:numPr>
        <w:rPr>
          <w:sz w:val="24"/>
          <w:szCs w:val="24"/>
        </w:rPr>
      </w:pPr>
      <w:bookmarkStart w:id="7" w:name="_heading=h.3dy6vkm" w:colFirst="0" w:colLast="0"/>
      <w:bookmarkEnd w:id="7"/>
      <w:r>
        <w:rPr>
          <w:sz w:val="24"/>
          <w:szCs w:val="24"/>
        </w:rPr>
        <w:t>Eksamitulemuste teatamine</w:t>
      </w:r>
    </w:p>
    <w:p w:rsidR="00F90184" w:rsidRDefault="00F901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90184" w:rsidRDefault="00FA02C4">
      <w:pPr>
        <w:pBdr>
          <w:top w:val="nil"/>
          <w:left w:val="nil"/>
          <w:bottom w:val="nil"/>
          <w:right w:val="nil"/>
          <w:between w:val="nil"/>
        </w:pBdr>
        <w:spacing w:before="24"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r>
        <w:rPr>
          <w:rFonts w:ascii="Times New Roman" w:eastAsia="Times New Roman" w:hAnsi="Times New Roman" w:cs="Times New Roman"/>
          <w:color w:val="000000"/>
          <w:sz w:val="24"/>
          <w:szCs w:val="24"/>
        </w:rPr>
        <w:t>Õpilastele teatatakse eksamitulemused e-kooli kaudu viie eksamile järgneva tööpäeva jooksul.</w:t>
      </w:r>
    </w:p>
    <w:p w:rsidR="00F90184" w:rsidRDefault="00FA02C4">
      <w:pPr>
        <w:pStyle w:val="Heading1"/>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Tulemuste apelleerimine</w:t>
      </w:r>
    </w:p>
    <w:p w:rsidR="00F90184" w:rsidRDefault="00F9018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 õpilane ei ole eksamitulemusega rahul, siis tal on õigus esitada kooli direktorile eksamihinde teatavaks tegemise päevast arvestades 3 tööpäeva jooksul apelleerimisavaldus.</w:t>
      </w:r>
    </w:p>
    <w:p w:rsidR="00F90184" w:rsidRDefault="00FA02C4">
      <w:pPr>
        <w:spacing w:line="240" w:lineRule="auto"/>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Direktor suunab avalduse eksamikomisjonile, kes vaatab apellatsiooni läbi ja annab vastuse 3 tööpäeva jooksul.</w:t>
      </w:r>
    </w:p>
    <w:p w:rsidR="00F90184" w:rsidRDefault="00FA02C4">
      <w:pPr>
        <w:pStyle w:val="Heading1"/>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Korduseksam</w:t>
      </w:r>
    </w:p>
    <w:p w:rsidR="00F90184" w:rsidRDefault="00F90184">
      <w:pPr>
        <w:spacing w:line="240" w:lineRule="auto"/>
        <w:jc w:val="both"/>
      </w:pP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Korduseksami sooritab õpilane, kes sooritas esmase eksami hindele </w:t>
      </w:r>
      <w:r>
        <w:rPr>
          <w:rFonts w:ascii="Times New Roman" w:eastAsia="Times New Roman" w:hAnsi="Times New Roman" w:cs="Times New Roman"/>
          <w:i/>
          <w:sz w:val="24"/>
          <w:szCs w:val="24"/>
        </w:rPr>
        <w:t xml:space="preserve">“puudulik” </w:t>
      </w:r>
      <w:r>
        <w:rPr>
          <w:rFonts w:ascii="Times New Roman" w:eastAsia="Times New Roman" w:hAnsi="Times New Roman" w:cs="Times New Roman"/>
          <w:sz w:val="24"/>
          <w:szCs w:val="24"/>
        </w:rPr>
        <w:t xml:space="preserve">või </w:t>
      </w:r>
      <w:r>
        <w:rPr>
          <w:rFonts w:ascii="Times New Roman" w:eastAsia="Times New Roman" w:hAnsi="Times New Roman" w:cs="Times New Roman"/>
          <w:i/>
          <w:sz w:val="24"/>
          <w:szCs w:val="24"/>
        </w:rPr>
        <w:t>“nõrk”.</w:t>
      </w:r>
    </w:p>
    <w:p w:rsidR="00F90184" w:rsidRDefault="00FA02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Korduseksami sooritamise aja ja komisjoni koosseisu määrab direktor käskkirjaga.</w:t>
      </w:r>
    </w:p>
    <w:sectPr w:rsidR="00F90184">
      <w:footerReference w:type="default" r:id="rId10"/>
      <w:pgSz w:w="12240" w:h="15840"/>
      <w:pgMar w:top="1440" w:right="1440" w:bottom="113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05" w:rsidRDefault="000E3E05">
      <w:pPr>
        <w:spacing w:after="0" w:line="240" w:lineRule="auto"/>
      </w:pPr>
      <w:r>
        <w:separator/>
      </w:r>
    </w:p>
  </w:endnote>
  <w:endnote w:type="continuationSeparator" w:id="0">
    <w:p w:rsidR="000E3E05" w:rsidRDefault="000E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84" w:rsidRDefault="00FA02C4">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02A40">
      <w:rPr>
        <w:noProof/>
        <w:color w:val="000000"/>
      </w:rPr>
      <w:t>5</w:t>
    </w:r>
    <w:r>
      <w:rPr>
        <w:color w:val="000000"/>
      </w:rPr>
      <w:fldChar w:fldCharType="end"/>
    </w:r>
  </w:p>
  <w:p w:rsidR="00F90184" w:rsidRDefault="00F90184">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05" w:rsidRDefault="000E3E05">
      <w:pPr>
        <w:spacing w:after="0" w:line="240" w:lineRule="auto"/>
      </w:pPr>
      <w:r>
        <w:separator/>
      </w:r>
    </w:p>
  </w:footnote>
  <w:footnote w:type="continuationSeparator" w:id="0">
    <w:p w:rsidR="000E3E05" w:rsidRDefault="000E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F75"/>
    <w:multiLevelType w:val="multilevel"/>
    <w:tmpl w:val="6A744A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5A2A13"/>
    <w:multiLevelType w:val="multilevel"/>
    <w:tmpl w:val="A5ECC6DC"/>
    <w:lvl w:ilvl="0">
      <w:start w:val="1"/>
      <w:numFmt w:val="decimal"/>
      <w:lvlText w:val="%1."/>
      <w:lvlJc w:val="left"/>
      <w:pPr>
        <w:ind w:left="644" w:hanging="358"/>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1FB81EFF"/>
    <w:multiLevelType w:val="multilevel"/>
    <w:tmpl w:val="829E8F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EE13010"/>
    <w:multiLevelType w:val="multilevel"/>
    <w:tmpl w:val="44CCAA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304845"/>
    <w:multiLevelType w:val="multilevel"/>
    <w:tmpl w:val="92E03B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901576F"/>
    <w:multiLevelType w:val="multilevel"/>
    <w:tmpl w:val="E9F4F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548420F"/>
    <w:multiLevelType w:val="multilevel"/>
    <w:tmpl w:val="0232B7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6EB15258"/>
    <w:multiLevelType w:val="multilevel"/>
    <w:tmpl w:val="64B275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1"/>
  </w:num>
  <w:num w:numId="3">
    <w:abstractNumId w:val="4"/>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84"/>
    <w:rsid w:val="00002A40"/>
    <w:rsid w:val="000E3E05"/>
    <w:rsid w:val="00237483"/>
    <w:rsid w:val="00731CBA"/>
    <w:rsid w:val="00986DAD"/>
    <w:rsid w:val="00CE689C"/>
    <w:rsid w:val="00DD1134"/>
    <w:rsid w:val="00F90184"/>
    <w:rsid w:val="00FA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2C89"/>
  <w15:docId w15:val="{31D97616-58D3-45D8-8B8C-1E7DF98F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720" w:hanging="36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iigiteataja.ee/akt/118122015012?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nFiHDa74W+sYfR9A6LHtGtrAQ==">AMUW2mULcB1HjUUVZEsiYXEOz5g38mib9qs9yNlGZ39S1OhHQ0riRdAMWRmtVBKPabT6W75/yiR2EpXf4Iw+WES2XDbO80S1bTpz1VzXviSuZWjn19Q9RyMvt6MeZGKm4rklSS4ZvJnMSPIwmj9LTjBRRM6D7kLRBhsS2mmMpNIRw5FybgpvboP+PCt1gLqr1Fua9ttSSH1Xk5ppANjrQxplRvsQOmF7gLNcBZKZ5VpSBHCtT/lOI2U=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663255-1FB7-4016-B62C-68071272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Sekretäär</dc:creator>
  <cp:lastModifiedBy>Opetaja</cp:lastModifiedBy>
  <cp:revision>3</cp:revision>
  <dcterms:created xsi:type="dcterms:W3CDTF">2022-05-31T05:08:00Z</dcterms:created>
  <dcterms:modified xsi:type="dcterms:W3CDTF">2022-05-31T05:09:00Z</dcterms:modified>
</cp:coreProperties>
</file>